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4B969465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28B96A39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974284">
        <w:rPr>
          <w:rFonts w:ascii="Times New Roman" w:hAnsi="Times New Roman"/>
          <w:b/>
          <w:spacing w:val="-6"/>
          <w:w w:val="105"/>
          <w:lang w:val="pl-PL"/>
        </w:rPr>
        <w:t>LIII(558)2023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105EAEDC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974284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6D0AF9">
        <w:rPr>
          <w:rFonts w:ascii="Times New Roman" w:hAnsi="Times New Roman"/>
          <w:b/>
          <w:spacing w:val="-3"/>
          <w:w w:val="105"/>
          <w:lang w:val="pl-PL"/>
        </w:rPr>
        <w:t>Skajboty</w:t>
      </w:r>
    </w:p>
    <w:p w14:paraId="061CE1FE" w14:textId="301B0ADF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C55E29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C55E29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4B55F371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6D0AF9">
        <w:rPr>
          <w:rFonts w:ascii="Times New Roman" w:hAnsi="Times New Roman"/>
          <w:spacing w:val="-1"/>
          <w:w w:val="105"/>
          <w:lang w:val="pl-PL"/>
        </w:rPr>
        <w:t>Skajboty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09ECF048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653BB6">
        <w:rPr>
          <w:rFonts w:ascii="Times New Roman" w:hAnsi="Times New Roman"/>
          <w:color w:val="000000"/>
          <w:spacing w:val="-1"/>
          <w:w w:val="105"/>
          <w:lang w:val="pl-PL"/>
        </w:rPr>
        <w:t>6</w:t>
      </w:r>
      <w:r w:rsidR="001E09EF">
        <w:rPr>
          <w:rFonts w:ascii="Times New Roman" w:hAnsi="Times New Roman"/>
          <w:color w:val="000000"/>
          <w:spacing w:val="-1"/>
          <w:w w:val="105"/>
          <w:lang w:val="pl-PL"/>
        </w:rPr>
        <w:t>5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6D0AF9">
        <w:rPr>
          <w:rFonts w:ascii="Times New Roman" w:hAnsi="Times New Roman"/>
          <w:color w:val="000000"/>
          <w:spacing w:val="-4"/>
          <w:w w:val="105"/>
          <w:lang w:val="pl-PL"/>
        </w:rPr>
        <w:t>Skajboty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0F51868D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45A37D9A" w14:textId="2C16677F" w:rsidR="00B10166" w:rsidRDefault="00B10166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6AF57A81" w14:textId="77777777" w:rsidR="00B10166" w:rsidRDefault="00B10166" w:rsidP="00B10166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6669941B" w14:textId="77777777" w:rsidR="00B10166" w:rsidRDefault="00B10166" w:rsidP="00B10166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728D31D9" w14:textId="77777777" w:rsidR="00B10166" w:rsidRDefault="00B10166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974284" w:rsidRDefault="009F48B5">
      <w:pPr>
        <w:rPr>
          <w:color w:val="FF0000"/>
          <w:lang w:val="pl-PL"/>
        </w:rPr>
        <w:sectPr w:rsidR="009F48B5" w:rsidRPr="00974284" w:rsidSect="00974284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00E3FED0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404D1F">
        <w:rPr>
          <w:rFonts w:ascii="Times New Roman" w:hAnsi="Times New Roman"/>
          <w:b/>
          <w:i/>
          <w:spacing w:val="-8"/>
          <w:w w:val="105"/>
          <w:lang w:val="pl-PL"/>
        </w:rPr>
        <w:t>LIII(558)2023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459E2438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404D1F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7CEB952B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6D0AF9">
        <w:rPr>
          <w:rFonts w:ascii="Times New Roman" w:hAnsi="Times New Roman"/>
          <w:b/>
          <w:sz w:val="32"/>
          <w:lang w:val="pl-PL"/>
        </w:rPr>
        <w:t>SKAJBOTY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02AD86F3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6D0AF9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Skajboty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773EF3FE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6D0AF9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Skajboty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73C0C474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6D0AF9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Skajboty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635C46B7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6D0AF9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Skajboty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581F7B59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6D0AF9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Skajboty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7C46DF" w:rsidRP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6D0AF9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Skajboty</w:t>
      </w:r>
      <w:r w:rsidR="001E09EF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</w:t>
      </w:r>
      <w:r w:rsidRPr="00653BB6">
        <w:rPr>
          <w:rFonts w:ascii="Times New Roman" w:hAnsi="Times New Roman"/>
          <w:spacing w:val="-3"/>
          <w:w w:val="105"/>
          <w:sz w:val="24"/>
          <w:lang w:val="pl-PL"/>
        </w:rPr>
        <w:t>y</w:t>
      </w:r>
      <w:r w:rsidR="008A0C0B" w:rsidRPr="00653BB6">
        <w:rPr>
          <w:rFonts w:ascii="Times New Roman" w:hAnsi="Times New Roman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974284" w:rsidRDefault="009F48B5">
      <w:pPr>
        <w:rPr>
          <w:color w:val="FF0000"/>
          <w:lang w:val="pl-PL"/>
        </w:rPr>
        <w:sectPr w:rsidR="009F48B5" w:rsidRPr="00974284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974284" w:rsidRDefault="009F48B5">
      <w:pPr>
        <w:rPr>
          <w:lang w:val="pl-PL"/>
        </w:rPr>
        <w:sectPr w:rsidR="009F48B5" w:rsidRPr="00974284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7C84DAED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03455E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14A835F8" w:rsidR="00924900" w:rsidRPr="00924900" w:rsidRDefault="007173D3" w:rsidP="00AD543D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3455E"/>
    <w:rsid w:val="00096EB5"/>
    <w:rsid w:val="000F7217"/>
    <w:rsid w:val="000F7531"/>
    <w:rsid w:val="001133D8"/>
    <w:rsid w:val="001306E2"/>
    <w:rsid w:val="00145EDB"/>
    <w:rsid w:val="00181741"/>
    <w:rsid w:val="00196E50"/>
    <w:rsid w:val="001B601C"/>
    <w:rsid w:val="001D180C"/>
    <w:rsid w:val="001E09EF"/>
    <w:rsid w:val="001E6B3C"/>
    <w:rsid w:val="00230873"/>
    <w:rsid w:val="00232588"/>
    <w:rsid w:val="00241FDC"/>
    <w:rsid w:val="00273122"/>
    <w:rsid w:val="002832D8"/>
    <w:rsid w:val="002A0676"/>
    <w:rsid w:val="002E19F1"/>
    <w:rsid w:val="002F39AA"/>
    <w:rsid w:val="002F59D7"/>
    <w:rsid w:val="00301661"/>
    <w:rsid w:val="00302CE2"/>
    <w:rsid w:val="00321639"/>
    <w:rsid w:val="00337FCC"/>
    <w:rsid w:val="003D4073"/>
    <w:rsid w:val="00404D1F"/>
    <w:rsid w:val="00411C3A"/>
    <w:rsid w:val="00423FC1"/>
    <w:rsid w:val="00441B58"/>
    <w:rsid w:val="0045376B"/>
    <w:rsid w:val="00473918"/>
    <w:rsid w:val="0048447B"/>
    <w:rsid w:val="004F7C6F"/>
    <w:rsid w:val="0051099F"/>
    <w:rsid w:val="00533917"/>
    <w:rsid w:val="0054681B"/>
    <w:rsid w:val="005531A1"/>
    <w:rsid w:val="00567019"/>
    <w:rsid w:val="005D7193"/>
    <w:rsid w:val="005E49A2"/>
    <w:rsid w:val="00636B8D"/>
    <w:rsid w:val="00653BB6"/>
    <w:rsid w:val="006B35EA"/>
    <w:rsid w:val="006B7AF6"/>
    <w:rsid w:val="006D0AF9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C46DF"/>
    <w:rsid w:val="007D218A"/>
    <w:rsid w:val="007D27A1"/>
    <w:rsid w:val="0080165B"/>
    <w:rsid w:val="00823CB5"/>
    <w:rsid w:val="0083332F"/>
    <w:rsid w:val="008414EB"/>
    <w:rsid w:val="00845974"/>
    <w:rsid w:val="00852805"/>
    <w:rsid w:val="00880790"/>
    <w:rsid w:val="008A0C0B"/>
    <w:rsid w:val="008A5C24"/>
    <w:rsid w:val="008C59D7"/>
    <w:rsid w:val="008D3373"/>
    <w:rsid w:val="008F1A10"/>
    <w:rsid w:val="00924900"/>
    <w:rsid w:val="00963BAB"/>
    <w:rsid w:val="00974284"/>
    <w:rsid w:val="00993D57"/>
    <w:rsid w:val="009A4388"/>
    <w:rsid w:val="009B7CD4"/>
    <w:rsid w:val="009C563C"/>
    <w:rsid w:val="009D0F81"/>
    <w:rsid w:val="009E33E0"/>
    <w:rsid w:val="009F48B5"/>
    <w:rsid w:val="00A106DA"/>
    <w:rsid w:val="00A30A88"/>
    <w:rsid w:val="00A323A1"/>
    <w:rsid w:val="00A53DAD"/>
    <w:rsid w:val="00A6322D"/>
    <w:rsid w:val="00A77A8C"/>
    <w:rsid w:val="00A93C1D"/>
    <w:rsid w:val="00AA2585"/>
    <w:rsid w:val="00AA2CC8"/>
    <w:rsid w:val="00AC40B6"/>
    <w:rsid w:val="00AD543D"/>
    <w:rsid w:val="00B002C0"/>
    <w:rsid w:val="00B03211"/>
    <w:rsid w:val="00B10166"/>
    <w:rsid w:val="00B678CF"/>
    <w:rsid w:val="00B87CBF"/>
    <w:rsid w:val="00BD4E0F"/>
    <w:rsid w:val="00BD51C0"/>
    <w:rsid w:val="00BE306F"/>
    <w:rsid w:val="00BE5028"/>
    <w:rsid w:val="00C0682D"/>
    <w:rsid w:val="00C070D0"/>
    <w:rsid w:val="00C2207D"/>
    <w:rsid w:val="00C50108"/>
    <w:rsid w:val="00C55E29"/>
    <w:rsid w:val="00C95E33"/>
    <w:rsid w:val="00CA0D56"/>
    <w:rsid w:val="00CD2649"/>
    <w:rsid w:val="00CD5A93"/>
    <w:rsid w:val="00D610C3"/>
    <w:rsid w:val="00D70173"/>
    <w:rsid w:val="00D85198"/>
    <w:rsid w:val="00DC0337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C55E29"/>
  </w:style>
  <w:style w:type="paragraph" w:customStyle="1" w:styleId="Standard">
    <w:name w:val="Standard"/>
    <w:rsid w:val="00B10166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2845</Words>
  <Characters>17070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Kasia</cp:lastModifiedBy>
  <cp:revision>6</cp:revision>
  <cp:lastPrinted>2023-03-02T15:24:00Z</cp:lastPrinted>
  <dcterms:created xsi:type="dcterms:W3CDTF">2023-02-28T07:44:00Z</dcterms:created>
  <dcterms:modified xsi:type="dcterms:W3CDTF">2023-03-02T15:24:00Z</dcterms:modified>
</cp:coreProperties>
</file>