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561C7A03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0F114586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73100C">
        <w:rPr>
          <w:rFonts w:ascii="Times New Roman" w:hAnsi="Times New Roman"/>
          <w:b/>
          <w:spacing w:val="-6"/>
          <w:w w:val="105"/>
          <w:lang w:val="pl-PL"/>
        </w:rPr>
        <w:t>LIII(563)2023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5ECA4384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73100C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AE32F8">
        <w:rPr>
          <w:rFonts w:ascii="Times New Roman" w:hAnsi="Times New Roman"/>
          <w:b/>
          <w:spacing w:val="-3"/>
          <w:w w:val="105"/>
          <w:lang w:val="pl-PL"/>
        </w:rPr>
        <w:t>Wójtowo</w:t>
      </w:r>
    </w:p>
    <w:p w14:paraId="061CE1FE" w14:textId="5BA1E489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662761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662761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5834C0B5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AE32F8">
        <w:rPr>
          <w:rFonts w:ascii="Times New Roman" w:hAnsi="Times New Roman"/>
          <w:spacing w:val="-1"/>
          <w:w w:val="105"/>
          <w:lang w:val="pl-PL"/>
        </w:rPr>
        <w:t>Wójtowo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086577DD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AE32F8">
        <w:rPr>
          <w:rFonts w:ascii="Times New Roman" w:hAnsi="Times New Roman"/>
          <w:color w:val="000000"/>
          <w:spacing w:val="-1"/>
          <w:w w:val="105"/>
          <w:lang w:val="pl-PL"/>
        </w:rPr>
        <w:t>70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AE32F8">
        <w:rPr>
          <w:rFonts w:ascii="Times New Roman" w:hAnsi="Times New Roman"/>
          <w:color w:val="000000"/>
          <w:spacing w:val="-4"/>
          <w:w w:val="105"/>
          <w:lang w:val="pl-PL"/>
        </w:rPr>
        <w:t>Wójtowo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60871F52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5B72EE19" w14:textId="0CFFB155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B89EEEA" w14:textId="77777777" w:rsidR="00D21E67" w:rsidRDefault="00D21E67" w:rsidP="00D21E67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659F5395" w14:textId="77777777" w:rsidR="00D21E67" w:rsidRDefault="00D21E67" w:rsidP="00D21E67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4842C286" w14:textId="77777777" w:rsidR="00D21E67" w:rsidRDefault="00D21E67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73100C" w:rsidRDefault="009F48B5">
      <w:pPr>
        <w:rPr>
          <w:color w:val="FF0000"/>
          <w:lang w:val="pl-PL"/>
        </w:rPr>
        <w:sectPr w:rsidR="009F48B5" w:rsidRPr="0073100C" w:rsidSect="0073100C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4D01DEF5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73100C">
        <w:rPr>
          <w:rFonts w:ascii="Times New Roman" w:hAnsi="Times New Roman"/>
          <w:b/>
          <w:i/>
          <w:spacing w:val="-8"/>
          <w:w w:val="105"/>
          <w:lang w:val="pl-PL"/>
        </w:rPr>
        <w:t>LIII(563)2023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025B4118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73100C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6D79DF1B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AE32F8">
        <w:rPr>
          <w:rFonts w:ascii="Times New Roman" w:hAnsi="Times New Roman"/>
          <w:b/>
          <w:sz w:val="32"/>
          <w:lang w:val="pl-PL"/>
        </w:rPr>
        <w:t>WÓJTOWO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452C10ED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AE32F8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Wójtowo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710A6115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AE32F8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Wójtowo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1B858295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AE32F8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Wójtowo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5638B785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AE32F8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Wójtowo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7AC0770E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AE32F8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Wójtowo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C357B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wsi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AE32F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Wójtowo.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</w:t>
      </w:r>
      <w:r w:rsidRPr="00653BB6">
        <w:rPr>
          <w:rFonts w:ascii="Times New Roman" w:hAnsi="Times New Roman"/>
          <w:spacing w:val="-3"/>
          <w:w w:val="105"/>
          <w:sz w:val="24"/>
          <w:lang w:val="pl-PL"/>
        </w:rPr>
        <w:t>y</w:t>
      </w:r>
      <w:r w:rsidR="008A0C0B" w:rsidRPr="00653BB6">
        <w:rPr>
          <w:rFonts w:ascii="Times New Roman" w:hAnsi="Times New Roman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73100C" w:rsidRDefault="009F48B5">
      <w:pPr>
        <w:rPr>
          <w:color w:val="FF0000"/>
          <w:lang w:val="pl-PL"/>
        </w:rPr>
        <w:sectPr w:rsidR="009F48B5" w:rsidRPr="0073100C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73100C" w:rsidRDefault="009F48B5">
      <w:pPr>
        <w:rPr>
          <w:lang w:val="pl-PL"/>
        </w:rPr>
        <w:sectPr w:rsidR="009F48B5" w:rsidRPr="0073100C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6F25ADEC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AE32F8">
        <w:rPr>
          <w:rFonts w:ascii="Times New Roman" w:hAnsi="Times New Roman"/>
          <w:spacing w:val="2"/>
          <w:w w:val="105"/>
          <w:sz w:val="24"/>
          <w:lang w:val="pl-PL"/>
        </w:rPr>
        <w:t>7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69B551BD" w:rsidR="00924900" w:rsidRPr="00924900" w:rsidRDefault="007173D3" w:rsidP="009A5986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3455E"/>
    <w:rsid w:val="00096EB5"/>
    <w:rsid w:val="000F7217"/>
    <w:rsid w:val="000F7531"/>
    <w:rsid w:val="001133D8"/>
    <w:rsid w:val="001306E2"/>
    <w:rsid w:val="00145EDB"/>
    <w:rsid w:val="00181741"/>
    <w:rsid w:val="00196E50"/>
    <w:rsid w:val="001B601C"/>
    <w:rsid w:val="001D180C"/>
    <w:rsid w:val="001E09EF"/>
    <w:rsid w:val="001E6B3C"/>
    <w:rsid w:val="00230873"/>
    <w:rsid w:val="00232588"/>
    <w:rsid w:val="00241FDC"/>
    <w:rsid w:val="0025772D"/>
    <w:rsid w:val="00273122"/>
    <w:rsid w:val="002832D8"/>
    <w:rsid w:val="002A0676"/>
    <w:rsid w:val="002E19F1"/>
    <w:rsid w:val="002F39AA"/>
    <w:rsid w:val="002F59D7"/>
    <w:rsid w:val="00301661"/>
    <w:rsid w:val="00302CE2"/>
    <w:rsid w:val="00321639"/>
    <w:rsid w:val="00337FCC"/>
    <w:rsid w:val="00350846"/>
    <w:rsid w:val="003D4073"/>
    <w:rsid w:val="00411C3A"/>
    <w:rsid w:val="00423FC1"/>
    <w:rsid w:val="00441B58"/>
    <w:rsid w:val="0045376B"/>
    <w:rsid w:val="00473918"/>
    <w:rsid w:val="0048447B"/>
    <w:rsid w:val="004D7D0B"/>
    <w:rsid w:val="004F7C6F"/>
    <w:rsid w:val="0051099F"/>
    <w:rsid w:val="00533917"/>
    <w:rsid w:val="0054681B"/>
    <w:rsid w:val="005531A1"/>
    <w:rsid w:val="00567019"/>
    <w:rsid w:val="005D7193"/>
    <w:rsid w:val="005E49A2"/>
    <w:rsid w:val="00636B8D"/>
    <w:rsid w:val="00653BB6"/>
    <w:rsid w:val="00662761"/>
    <w:rsid w:val="006B1803"/>
    <w:rsid w:val="006B35EA"/>
    <w:rsid w:val="006B7AF6"/>
    <w:rsid w:val="006D0AF9"/>
    <w:rsid w:val="0070350C"/>
    <w:rsid w:val="00711725"/>
    <w:rsid w:val="007173D3"/>
    <w:rsid w:val="0073100C"/>
    <w:rsid w:val="00742FC0"/>
    <w:rsid w:val="00773B05"/>
    <w:rsid w:val="0077510A"/>
    <w:rsid w:val="00783433"/>
    <w:rsid w:val="007B248A"/>
    <w:rsid w:val="007B5C4F"/>
    <w:rsid w:val="007C46DF"/>
    <w:rsid w:val="007D218A"/>
    <w:rsid w:val="007D27A1"/>
    <w:rsid w:val="0080165B"/>
    <w:rsid w:val="00823CB5"/>
    <w:rsid w:val="0083332F"/>
    <w:rsid w:val="008414EB"/>
    <w:rsid w:val="00845974"/>
    <w:rsid w:val="00852805"/>
    <w:rsid w:val="00880790"/>
    <w:rsid w:val="008A0C0B"/>
    <w:rsid w:val="008A5C24"/>
    <w:rsid w:val="008C59D7"/>
    <w:rsid w:val="008D3373"/>
    <w:rsid w:val="008F1A10"/>
    <w:rsid w:val="00924900"/>
    <w:rsid w:val="00993D57"/>
    <w:rsid w:val="009A4388"/>
    <w:rsid w:val="009A5986"/>
    <w:rsid w:val="009B7CD4"/>
    <w:rsid w:val="009C563C"/>
    <w:rsid w:val="009D0F81"/>
    <w:rsid w:val="009E2E17"/>
    <w:rsid w:val="009E33E0"/>
    <w:rsid w:val="009F48B5"/>
    <w:rsid w:val="00A106DA"/>
    <w:rsid w:val="00A30A88"/>
    <w:rsid w:val="00A323A1"/>
    <w:rsid w:val="00A53DAD"/>
    <w:rsid w:val="00A6322D"/>
    <w:rsid w:val="00A6323D"/>
    <w:rsid w:val="00A77A8C"/>
    <w:rsid w:val="00A93C1D"/>
    <w:rsid w:val="00AA2585"/>
    <w:rsid w:val="00AA2CC8"/>
    <w:rsid w:val="00AC40B6"/>
    <w:rsid w:val="00AE32F8"/>
    <w:rsid w:val="00B002C0"/>
    <w:rsid w:val="00B03211"/>
    <w:rsid w:val="00B40591"/>
    <w:rsid w:val="00B678CF"/>
    <w:rsid w:val="00B87CBF"/>
    <w:rsid w:val="00BD4E0F"/>
    <w:rsid w:val="00BD51C0"/>
    <w:rsid w:val="00BE306F"/>
    <w:rsid w:val="00BE5028"/>
    <w:rsid w:val="00C0682D"/>
    <w:rsid w:val="00C070D0"/>
    <w:rsid w:val="00C2207D"/>
    <w:rsid w:val="00C357B1"/>
    <w:rsid w:val="00C50108"/>
    <w:rsid w:val="00C95E33"/>
    <w:rsid w:val="00CA0D56"/>
    <w:rsid w:val="00CD2649"/>
    <w:rsid w:val="00CD5A93"/>
    <w:rsid w:val="00D05B5E"/>
    <w:rsid w:val="00D21E67"/>
    <w:rsid w:val="00D610C3"/>
    <w:rsid w:val="00D634F8"/>
    <w:rsid w:val="00D70173"/>
    <w:rsid w:val="00D85198"/>
    <w:rsid w:val="00DC0337"/>
    <w:rsid w:val="00DC746C"/>
    <w:rsid w:val="00DD00C0"/>
    <w:rsid w:val="00E01D7E"/>
    <w:rsid w:val="00E32F79"/>
    <w:rsid w:val="00E7487F"/>
    <w:rsid w:val="00E805B0"/>
    <w:rsid w:val="00E949F5"/>
    <w:rsid w:val="00EB3F04"/>
    <w:rsid w:val="00EE1531"/>
    <w:rsid w:val="00EE48E1"/>
    <w:rsid w:val="00F12E47"/>
    <w:rsid w:val="00F306BF"/>
    <w:rsid w:val="00F3309A"/>
    <w:rsid w:val="00F3406E"/>
    <w:rsid w:val="00F66182"/>
    <w:rsid w:val="00F84F5A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662761"/>
  </w:style>
  <w:style w:type="paragraph" w:customStyle="1" w:styleId="Standard">
    <w:name w:val="Standard"/>
    <w:rsid w:val="00D21E67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2843</Words>
  <Characters>17061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2023-03-02T15:27:00Z</cp:lastPrinted>
  <dcterms:created xsi:type="dcterms:W3CDTF">2023-02-28T08:02:00Z</dcterms:created>
  <dcterms:modified xsi:type="dcterms:W3CDTF">2023-03-02T15:27:00Z</dcterms:modified>
</cp:coreProperties>
</file>